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3C66" w14:textId="5C3B44CF" w:rsidR="00410DEF" w:rsidRPr="009236E8" w:rsidRDefault="00CA4883" w:rsidP="009236E8">
      <w:pPr>
        <w:keepNext/>
        <w:keepLines/>
        <w:spacing w:before="600" w:line="240" w:lineRule="auto"/>
        <w:jc w:val="center"/>
        <w:outlineLvl w:val="0"/>
        <w:rPr>
          <w:rFonts w:ascii="Arial" w:eastAsia="Times New Roman" w:hAnsi="Arial" w:cs="Times New Roman"/>
          <w:b/>
          <w:bCs/>
          <w:sz w:val="28"/>
          <w:szCs w:val="28"/>
          <w:lang w:val="en-GB"/>
        </w:rPr>
      </w:pPr>
      <w:bookmarkStart w:id="0" w:name="BusinessContingencyEmegPlanning"/>
      <w:bookmarkEnd w:id="0"/>
      <w:r>
        <w:rPr>
          <w:rFonts w:ascii="Arial" w:eastAsia="Times New Roman" w:hAnsi="Arial" w:cs="Times New Roman"/>
          <w:b/>
          <w:bCs/>
          <w:sz w:val="28"/>
          <w:szCs w:val="28"/>
          <w:lang w:val="en-GB"/>
        </w:rPr>
        <w:t>B</w:t>
      </w:r>
      <w:r w:rsidR="0078181C">
        <w:rPr>
          <w:rFonts w:ascii="Arial" w:eastAsia="Times New Roman" w:hAnsi="Arial" w:cs="Times New Roman"/>
          <w:b/>
          <w:bCs/>
          <w:sz w:val="28"/>
          <w:szCs w:val="28"/>
          <w:lang w:val="en-GB"/>
        </w:rPr>
        <w:t>USINESS CONTINGENCY AND EMERGENCY PLANNING</w:t>
      </w:r>
    </w:p>
    <w:p w14:paraId="1331DE43" w14:textId="77777777"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7C4BEDC7" w14:textId="578FB57F" w:rsidR="00E63881" w:rsidRDefault="0032678C"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r>
        <w:rPr>
          <w:rFonts w:ascii="Arial" w:eastAsia="Arial" w:hAnsi="Arial" w:cs="Arial"/>
          <w:b/>
          <w:bCs/>
          <w:kern w:val="3"/>
          <w:sz w:val="28"/>
          <w:szCs w:val="28"/>
          <w:lang w:bidi="en-US"/>
        </w:rPr>
        <w:t>Caretakers Southwest Ltd</w:t>
      </w:r>
      <w:bookmarkStart w:id="1" w:name="_GoBack"/>
      <w:bookmarkEnd w:id="1"/>
    </w:p>
    <w:p w14:paraId="320840EF" w14:textId="77777777" w:rsidR="00E63881" w:rsidRDefault="00E63881" w:rsidP="00A144CA">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42C6E9DA" w14:textId="16C93454"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14:paraId="3FE92DFE" w14:textId="0A4005E7" w:rsidR="00B7150E" w:rsidRPr="0032678C"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32678C">
        <w:rPr>
          <w:rFonts w:ascii="Arial" w:eastAsia="HGGothicM" w:hAnsi="Arial" w:cs="Arial"/>
          <w:bCs/>
          <w:sz w:val="24"/>
          <w:szCs w:val="24"/>
          <w:lang w:bidi="en-US"/>
        </w:rPr>
        <w:t>Policy Statement</w:t>
      </w:r>
    </w:p>
    <w:p w14:paraId="21E3EA7C" w14:textId="37F4F850" w:rsidR="00B7150E" w:rsidRPr="0032678C"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32678C">
        <w:rPr>
          <w:rFonts w:ascii="Arial" w:eastAsia="HGGothicM" w:hAnsi="Arial" w:cs="Arial"/>
          <w:bCs/>
          <w:sz w:val="24"/>
          <w:szCs w:val="24"/>
          <w:lang w:bidi="en-US"/>
        </w:rPr>
        <w:t>The Policy</w:t>
      </w:r>
    </w:p>
    <w:p w14:paraId="4BE6E490" w14:textId="1D277819" w:rsidR="002200DE" w:rsidRPr="0032678C" w:rsidRDefault="002200D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32678C">
        <w:rPr>
          <w:rFonts w:ascii="Arial" w:eastAsia="HGGothicM" w:hAnsi="Arial" w:cs="Arial"/>
          <w:bCs/>
          <w:sz w:val="24"/>
          <w:szCs w:val="24"/>
          <w:lang w:bidi="en-US"/>
        </w:rPr>
        <w:t>Late Visits</w:t>
      </w:r>
    </w:p>
    <w:p w14:paraId="0E37076A" w14:textId="77D05F4A" w:rsidR="002200DE" w:rsidRPr="0032678C" w:rsidRDefault="002200D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32678C">
        <w:rPr>
          <w:rFonts w:ascii="Arial" w:eastAsia="HGGothicM" w:hAnsi="Arial" w:cs="Arial"/>
          <w:bCs/>
          <w:sz w:val="24"/>
          <w:szCs w:val="24"/>
          <w:lang w:bidi="en-US"/>
        </w:rPr>
        <w:t>Utilities Failure</w:t>
      </w:r>
    </w:p>
    <w:p w14:paraId="0FE49DD6" w14:textId="330FC581" w:rsidR="002200DE" w:rsidRPr="0032678C" w:rsidRDefault="002200D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32678C">
        <w:rPr>
          <w:rFonts w:ascii="Arial" w:eastAsia="HGGothicM" w:hAnsi="Arial" w:cs="Arial"/>
          <w:bCs/>
          <w:sz w:val="24"/>
          <w:szCs w:val="24"/>
          <w:lang w:bidi="en-US"/>
        </w:rPr>
        <w:t>Adverse Weather/Winter Planning</w:t>
      </w:r>
    </w:p>
    <w:p w14:paraId="7F18B1D6" w14:textId="0B69BE15" w:rsidR="002200DE" w:rsidRPr="0032678C" w:rsidRDefault="002200D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32678C">
        <w:rPr>
          <w:rFonts w:ascii="Arial" w:eastAsia="HGGothicM" w:hAnsi="Arial" w:cs="Arial"/>
          <w:bCs/>
          <w:sz w:val="24"/>
          <w:szCs w:val="24"/>
          <w:lang w:bidi="en-US"/>
        </w:rPr>
        <w:t>Pandemic Management</w:t>
      </w:r>
    </w:p>
    <w:p w14:paraId="72ADD4C3" w14:textId="2E96DED7" w:rsidR="002200DE" w:rsidRPr="0032678C" w:rsidRDefault="002200D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32678C">
        <w:rPr>
          <w:rFonts w:ascii="Arial" w:eastAsia="HGGothicM" w:hAnsi="Arial" w:cs="Arial"/>
          <w:bCs/>
          <w:sz w:val="24"/>
          <w:szCs w:val="24"/>
          <w:lang w:bidi="en-US"/>
        </w:rPr>
        <w:t>Force Majeure Situations</w:t>
      </w:r>
    </w:p>
    <w:p w14:paraId="6CEF9E51" w14:textId="6C3EBDD5" w:rsidR="00C3747B" w:rsidRPr="0032678C" w:rsidRDefault="00C3747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32678C">
        <w:rPr>
          <w:rFonts w:ascii="Arial" w:eastAsia="HGGothicM" w:hAnsi="Arial" w:cs="Arial"/>
          <w:bCs/>
          <w:sz w:val="24"/>
          <w:szCs w:val="24"/>
          <w:lang w:bidi="en-US"/>
        </w:rPr>
        <w:t>Brexit</w:t>
      </w:r>
    </w:p>
    <w:p w14:paraId="6CE0DEDF" w14:textId="3815664E" w:rsidR="00B7150E" w:rsidRPr="0032678C"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32678C">
        <w:rPr>
          <w:rFonts w:ascii="Arial" w:eastAsia="HGGothicM" w:hAnsi="Arial" w:cs="Arial"/>
          <w:bCs/>
          <w:sz w:val="24"/>
          <w:szCs w:val="24"/>
          <w:lang w:bidi="en-US"/>
        </w:rPr>
        <w:t>Related Policies</w:t>
      </w:r>
    </w:p>
    <w:p w14:paraId="4144DE55" w14:textId="780BAA6A" w:rsidR="00B7150E" w:rsidRPr="0032678C"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32678C">
        <w:rPr>
          <w:rFonts w:ascii="Arial" w:eastAsia="HGGothicM" w:hAnsi="Arial" w:cs="Arial"/>
          <w:bCs/>
          <w:sz w:val="24"/>
          <w:szCs w:val="24"/>
          <w:lang w:bidi="en-US"/>
        </w:rPr>
        <w:t>Related Guidance</w:t>
      </w:r>
    </w:p>
    <w:p w14:paraId="71010775" w14:textId="77777777" w:rsidR="0032678C" w:rsidRPr="0032678C" w:rsidRDefault="00B7150E" w:rsidP="0032678C">
      <w:pPr>
        <w:pStyle w:val="ListParagraph"/>
        <w:keepNext/>
        <w:keepLines/>
        <w:widowControl w:val="0"/>
        <w:numPr>
          <w:ilvl w:val="0"/>
          <w:numId w:val="1"/>
        </w:numPr>
        <w:suppressAutoHyphens/>
        <w:autoSpaceDN w:val="0"/>
        <w:textAlignment w:val="baseline"/>
        <w:outlineLvl w:val="0"/>
        <w:rPr>
          <w:rFonts w:ascii="Arial" w:eastAsia="HGGothicM" w:hAnsi="Arial" w:cs="Arial"/>
          <w:bCs/>
          <w:color w:val="365F91" w:themeColor="accent1" w:themeShade="BF"/>
          <w:sz w:val="24"/>
          <w:szCs w:val="24"/>
          <w:lang w:eastAsia="en-GB"/>
        </w:rPr>
      </w:pPr>
      <w:r w:rsidRPr="0032678C">
        <w:rPr>
          <w:rFonts w:ascii="Arial" w:eastAsia="HGGothicM" w:hAnsi="Arial" w:cs="Arial"/>
          <w:bCs/>
          <w:sz w:val="24"/>
          <w:szCs w:val="24"/>
          <w:lang w:bidi="en-US"/>
        </w:rPr>
        <w:t>Training Statement</w:t>
      </w:r>
    </w:p>
    <w:p w14:paraId="042F0AFC" w14:textId="77777777" w:rsidR="0032678C" w:rsidRDefault="0032678C" w:rsidP="0032678C">
      <w:pPr>
        <w:keepNext/>
        <w:keepLines/>
        <w:widowControl w:val="0"/>
        <w:suppressAutoHyphens/>
        <w:autoSpaceDN w:val="0"/>
        <w:textAlignment w:val="baseline"/>
        <w:outlineLvl w:val="0"/>
        <w:rPr>
          <w:rFonts w:ascii="Arial" w:eastAsia="HGGothicM" w:hAnsi="Arial" w:cs="Arial"/>
          <w:b/>
          <w:bCs/>
          <w:color w:val="365F91" w:themeColor="accent1" w:themeShade="BF"/>
          <w:sz w:val="24"/>
          <w:szCs w:val="24"/>
          <w:lang w:eastAsia="en-GB"/>
        </w:rPr>
      </w:pPr>
    </w:p>
    <w:p w14:paraId="40073288" w14:textId="4F87FE5A" w:rsidR="00B7150E" w:rsidRPr="0032678C" w:rsidRDefault="00B7150E" w:rsidP="0032678C">
      <w:pPr>
        <w:keepNext/>
        <w:keepLines/>
        <w:widowControl w:val="0"/>
        <w:suppressAutoHyphens/>
        <w:autoSpaceDN w:val="0"/>
        <w:textAlignment w:val="baseline"/>
        <w:outlineLvl w:val="0"/>
        <w:rPr>
          <w:rFonts w:ascii="Arial" w:eastAsia="HGGothicM" w:hAnsi="Arial" w:cs="Arial"/>
          <w:b/>
          <w:bCs/>
          <w:color w:val="365F91" w:themeColor="accent1" w:themeShade="BF"/>
          <w:sz w:val="24"/>
          <w:szCs w:val="24"/>
          <w:lang w:eastAsia="en-GB"/>
        </w:rPr>
      </w:pPr>
      <w:r w:rsidRPr="0032678C">
        <w:rPr>
          <w:rFonts w:ascii="Arial" w:eastAsia="HGGothicM" w:hAnsi="Arial" w:cs="Arial"/>
          <w:b/>
          <w:bCs/>
          <w:color w:val="365F91" w:themeColor="accent1" w:themeShade="BF"/>
          <w:sz w:val="24"/>
          <w:szCs w:val="24"/>
          <w:lang w:eastAsia="en-GB"/>
        </w:rPr>
        <w:t>Policy Statement</w:t>
      </w:r>
    </w:p>
    <w:p w14:paraId="7893899A" w14:textId="77777777" w:rsidR="002200DE" w:rsidRDefault="002200D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p>
    <w:p w14:paraId="453D105C" w14:textId="77777777" w:rsidR="002200DE" w:rsidRPr="002200DE" w:rsidRDefault="002200DE" w:rsidP="002200DE">
      <w:pPr>
        <w:spacing w:after="200" w:line="240" w:lineRule="auto"/>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 xml:space="preserve">This organisation is aware of its responsibilities in respect to delivery of its commissioned services.  This policy sets out the contingency arrangements which can be implemented when an unplanned critical or emergency event or </w:t>
      </w:r>
      <w:r w:rsidRPr="002200DE">
        <w:rPr>
          <w:rFonts w:ascii="Arial" w:eastAsia="MS Mincho" w:hAnsi="Arial" w:cs="Arial"/>
          <w:i/>
          <w:sz w:val="24"/>
          <w:szCs w:val="24"/>
          <w:lang w:val="en-GB" w:eastAsia="sk-SK"/>
        </w:rPr>
        <w:t>force majeure</w:t>
      </w:r>
      <w:r w:rsidRPr="002200DE">
        <w:rPr>
          <w:rFonts w:ascii="Arial" w:eastAsia="MS Mincho" w:hAnsi="Arial" w:cs="Arial"/>
          <w:sz w:val="24"/>
          <w:szCs w:val="24"/>
          <w:lang w:val="en-GB" w:eastAsia="sk-SK"/>
        </w:rPr>
        <w:t xml:space="preserve"> situation arises.</w:t>
      </w:r>
    </w:p>
    <w:p w14:paraId="7950006D" w14:textId="77777777" w:rsidR="002200DE" w:rsidRDefault="002200D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p>
    <w:p w14:paraId="5DE48CD5" w14:textId="7DEFC31E" w:rsidR="00474D5E" w:rsidRDefault="00B14A79" w:rsidP="00B14A79">
      <w:pPr>
        <w:keepNext/>
        <w:keepLines/>
        <w:spacing w:before="360" w:after="0" w:line="240" w:lineRule="auto"/>
        <w:outlineLvl w:val="0"/>
        <w:rPr>
          <w:rFonts w:ascii="Arial" w:eastAsia="HGGothicM" w:hAnsi="Arial" w:cs="Arial"/>
          <w:b/>
          <w:bCs/>
          <w:color w:val="365F91" w:themeColor="accent1" w:themeShade="BF"/>
          <w:sz w:val="24"/>
          <w:szCs w:val="24"/>
          <w:lang w:eastAsia="en-GB"/>
        </w:rPr>
      </w:pPr>
      <w:r w:rsidRPr="002E7BED">
        <w:rPr>
          <w:rFonts w:ascii="Arial" w:eastAsia="HGGothicM" w:hAnsi="Arial" w:cs="Arial"/>
          <w:b/>
          <w:bCs/>
          <w:color w:val="365F91" w:themeColor="accent1" w:themeShade="BF"/>
          <w:sz w:val="24"/>
          <w:szCs w:val="24"/>
          <w:lang w:eastAsia="en-GB"/>
        </w:rPr>
        <w:t>The Policy</w:t>
      </w:r>
    </w:p>
    <w:p w14:paraId="32091251" w14:textId="12E47144" w:rsidR="002200DE" w:rsidRPr="002200DE" w:rsidRDefault="002200DE" w:rsidP="002200DE">
      <w:pPr>
        <w:spacing w:before="100" w:beforeAutospacing="1" w:after="100" w:afterAutospacing="1" w:line="240" w:lineRule="auto"/>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 xml:space="preserve">This policy aims to enable service delivery to take place even in unplanned situations.  Working with multi-agency partners, this organisation would seek to ensure the following measures were in place to minimise any disruption to planned services and to co-operate in any way possible to assist in any </w:t>
      </w:r>
      <w:r w:rsidRPr="002200DE">
        <w:rPr>
          <w:rFonts w:ascii="Arial" w:eastAsia="MS Mincho" w:hAnsi="Arial" w:cs="Arial"/>
          <w:i/>
          <w:sz w:val="24"/>
          <w:szCs w:val="24"/>
          <w:lang w:val="en-GB" w:eastAsia="sk-SK"/>
        </w:rPr>
        <w:t>force majeure</w:t>
      </w:r>
      <w:r w:rsidRPr="002200DE">
        <w:rPr>
          <w:rFonts w:ascii="Arial" w:eastAsia="MS Mincho" w:hAnsi="Arial" w:cs="Arial"/>
          <w:sz w:val="24"/>
          <w:szCs w:val="24"/>
          <w:lang w:val="en-GB" w:eastAsia="sk-SK"/>
        </w:rPr>
        <w:t xml:space="preserve"> situation which may arise.</w:t>
      </w:r>
    </w:p>
    <w:p w14:paraId="211076DC" w14:textId="77777777" w:rsidR="002200DE" w:rsidRPr="002200DE" w:rsidRDefault="002200DE" w:rsidP="002200DE">
      <w:pPr>
        <w:spacing w:before="100" w:beforeAutospacing="1" w:after="100" w:afterAutospacing="1" w:line="240" w:lineRule="auto"/>
        <w:jc w:val="both"/>
        <w:rPr>
          <w:rFonts w:ascii="Arial" w:eastAsia="MS Mincho" w:hAnsi="Arial" w:cs="Arial"/>
          <w:color w:val="FF0000"/>
          <w:sz w:val="24"/>
          <w:szCs w:val="24"/>
          <w:lang w:val="en-GB" w:eastAsia="sk-SK"/>
        </w:rPr>
      </w:pPr>
      <w:r w:rsidRPr="002200DE">
        <w:rPr>
          <w:rFonts w:ascii="Arial" w:eastAsia="MS Mincho" w:hAnsi="Arial" w:cs="Arial"/>
          <w:sz w:val="24"/>
          <w:szCs w:val="24"/>
          <w:lang w:val="en-GB" w:eastAsia="sk-SK"/>
        </w:rPr>
        <w:t>The following sets out how we at this organisation would seek to minimise the impact of unplanned situations.</w:t>
      </w:r>
    </w:p>
    <w:p w14:paraId="0FAC89B3" w14:textId="2425E1F6" w:rsidR="002200DE" w:rsidRPr="002200DE" w:rsidRDefault="002200DE" w:rsidP="002200DE">
      <w:pPr>
        <w:pStyle w:val="Heading1"/>
        <w:rPr>
          <w:rFonts w:eastAsia="MS Mincho"/>
          <w:lang w:eastAsia="sk-SK"/>
        </w:rPr>
      </w:pPr>
      <w:r w:rsidRPr="002200DE">
        <w:rPr>
          <w:rFonts w:eastAsia="MS Mincho"/>
          <w:lang w:eastAsia="sk-SK"/>
        </w:rPr>
        <w:lastRenderedPageBreak/>
        <w:t xml:space="preserve">Late </w:t>
      </w:r>
      <w:r>
        <w:rPr>
          <w:rFonts w:eastAsia="MS Mincho"/>
          <w:lang w:eastAsia="sk-SK"/>
        </w:rPr>
        <w:t>V</w:t>
      </w:r>
      <w:r w:rsidRPr="002200DE">
        <w:rPr>
          <w:rFonts w:eastAsia="MS Mincho"/>
          <w:lang w:eastAsia="sk-SK"/>
        </w:rPr>
        <w:t>isits</w:t>
      </w:r>
    </w:p>
    <w:p w14:paraId="692B5F35" w14:textId="303F0513" w:rsidR="002200DE" w:rsidRPr="002200DE" w:rsidRDefault="002200DE" w:rsidP="002200DE">
      <w:pPr>
        <w:spacing w:before="100" w:beforeAutospacing="1" w:after="100" w:afterAutospacing="1" w:line="240" w:lineRule="auto"/>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 xml:space="preserve">This is different to missed visits which is a separate policy and the two should not be confused. A late visit is when the scheduled visit time is not met by the assigned worker. There are usually built in lateness periods via local authority service specifications and these are usually between 15 and 30 minutes duration. For example; a schedule visit at 7.30pm would not be considered a late visit until 7.45pm or 8pm, using the agreed lateness duration of the local authorities we work with. </w:t>
      </w:r>
      <w:bookmarkStart w:id="2" w:name="BusinessContingencyEmegPlanningInput1"/>
      <w:bookmarkEnd w:id="2"/>
    </w:p>
    <w:p w14:paraId="3FF06386" w14:textId="77777777" w:rsidR="002200DE" w:rsidRPr="002200DE" w:rsidRDefault="002200DE" w:rsidP="002200DE">
      <w:pPr>
        <w:spacing w:before="100" w:beforeAutospacing="1" w:after="100" w:afterAutospacing="1" w:line="240" w:lineRule="auto"/>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Late visits can be caused by many different situations for example: medical emergency, such as a fall or stroke where medical assistance is needed. The scheduled visits on that round would need to be covered as its likely the worker would be delayed until the arrival of the emergency services. Family, friends or representatives will be kept informed</w:t>
      </w:r>
    </w:p>
    <w:p w14:paraId="0426DB68" w14:textId="77777777" w:rsidR="002200DE" w:rsidRPr="002200DE" w:rsidRDefault="002200DE" w:rsidP="002200DE">
      <w:pPr>
        <w:pStyle w:val="Heading1"/>
        <w:rPr>
          <w:rFonts w:eastAsia="MS Mincho"/>
          <w:lang w:eastAsia="sk-SK"/>
        </w:rPr>
      </w:pPr>
      <w:bookmarkStart w:id="3" w:name="_Toc408410382"/>
      <w:bookmarkStart w:id="4" w:name="_Toc408495538"/>
      <w:bookmarkStart w:id="5" w:name="_Toc409431019"/>
      <w:r w:rsidRPr="002200DE">
        <w:rPr>
          <w:rFonts w:eastAsia="MS Mincho"/>
          <w:lang w:eastAsia="sk-SK"/>
        </w:rPr>
        <w:t>Utilities Failure</w:t>
      </w:r>
      <w:bookmarkEnd w:id="3"/>
      <w:bookmarkEnd w:id="4"/>
      <w:bookmarkEnd w:id="5"/>
    </w:p>
    <w:p w14:paraId="61BBE272" w14:textId="77777777" w:rsidR="002200DE" w:rsidRPr="002200DE" w:rsidRDefault="002200DE" w:rsidP="002200DE">
      <w:pPr>
        <w:spacing w:before="100" w:beforeAutospacing="1" w:after="100" w:afterAutospacing="1" w:line="240" w:lineRule="auto"/>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 xml:space="preserve">From time to time a utilities failure occurs that impacts upon the </w:t>
      </w:r>
      <w:r w:rsidRPr="002200DE">
        <w:rPr>
          <w:rFonts w:ascii="Arial" w:eastAsia="MS Mincho" w:hAnsi="Arial" w:cs="Times New Roman"/>
          <w:sz w:val="24"/>
          <w:szCs w:val="24"/>
          <w:lang w:val="en-GB" w:eastAsia="sk-SK"/>
        </w:rPr>
        <w:t>service user’s</w:t>
      </w:r>
      <w:r w:rsidRPr="002200DE">
        <w:rPr>
          <w:rFonts w:ascii="Arial" w:eastAsia="MS Mincho" w:hAnsi="Arial" w:cs="Arial"/>
          <w:sz w:val="24"/>
          <w:szCs w:val="24"/>
          <w:lang w:val="en-GB" w:eastAsia="sk-SK"/>
        </w:rPr>
        <w:t xml:space="preserve"> home. We would be able to access camping gas and water to enable the </w:t>
      </w:r>
      <w:r w:rsidRPr="002200DE">
        <w:rPr>
          <w:rFonts w:ascii="Arial" w:eastAsia="MS Mincho" w:hAnsi="Arial" w:cs="Times New Roman"/>
          <w:sz w:val="24"/>
          <w:szCs w:val="24"/>
          <w:lang w:val="en-GB" w:eastAsia="sk-SK"/>
        </w:rPr>
        <w:t>service user</w:t>
      </w:r>
      <w:r w:rsidRPr="002200DE">
        <w:rPr>
          <w:rFonts w:ascii="Arial" w:eastAsia="MS Mincho" w:hAnsi="Arial" w:cs="Arial"/>
          <w:sz w:val="24"/>
          <w:szCs w:val="24"/>
          <w:lang w:val="en-GB" w:eastAsia="sk-SK"/>
        </w:rPr>
        <w:t xml:space="preserve"> to be cared for in terms of personal care, warmth and nutritional needs.  We would keep in contact with the family (where applicable), the utility agency (to ensure we could respond appropriately) and, where a large section of the community was affected, the relevant statutory agencies (e.g. police, social services) and the emergency civil planning department of the council where necessary.</w:t>
      </w:r>
    </w:p>
    <w:p w14:paraId="7FEB1C0E" w14:textId="77777777" w:rsidR="002200DE" w:rsidRPr="002200DE" w:rsidRDefault="002200DE" w:rsidP="002200DE">
      <w:pPr>
        <w:pStyle w:val="Heading1"/>
        <w:rPr>
          <w:rFonts w:eastAsia="MS Mincho"/>
          <w:lang w:eastAsia="sk-SK"/>
        </w:rPr>
      </w:pPr>
      <w:bookmarkStart w:id="6" w:name="_Toc408410383"/>
      <w:bookmarkStart w:id="7" w:name="_Toc408495539"/>
      <w:bookmarkStart w:id="8" w:name="_Toc409431020"/>
      <w:r w:rsidRPr="002200DE">
        <w:rPr>
          <w:rFonts w:eastAsia="MS Mincho"/>
          <w:lang w:eastAsia="sk-SK"/>
        </w:rPr>
        <w:t>Adverse Weather/Winter Planning</w:t>
      </w:r>
      <w:bookmarkEnd w:id="6"/>
      <w:bookmarkEnd w:id="7"/>
      <w:bookmarkEnd w:id="8"/>
    </w:p>
    <w:p w14:paraId="79A053D2" w14:textId="77777777" w:rsidR="002200DE" w:rsidRPr="002200DE" w:rsidRDefault="002200DE" w:rsidP="002200DE">
      <w:pPr>
        <w:spacing w:before="100" w:beforeAutospacing="1" w:after="100" w:afterAutospacing="1" w:line="240" w:lineRule="auto"/>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In situations such as these it would mean rescheduling the visits. Families and social services would be contacted, informed and an explanation given of why the changes had been implemented.</w:t>
      </w:r>
    </w:p>
    <w:p w14:paraId="16BCA08B" w14:textId="23052A5A" w:rsidR="002200DE" w:rsidRPr="002200DE" w:rsidRDefault="002200DE" w:rsidP="002200DE">
      <w:pPr>
        <w:spacing w:before="100" w:beforeAutospacing="1" w:after="100" w:afterAutospacing="1" w:line="240" w:lineRule="auto"/>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 xml:space="preserve">To minimise travel, care workers would be scheduled to start as close to home as possible and some could be scheduled to walk where flooding or snow and ice were present.  The employment of </w:t>
      </w:r>
      <w:r w:rsidR="00E203BB" w:rsidRPr="002200DE">
        <w:rPr>
          <w:rFonts w:ascii="Arial" w:eastAsia="MS Mincho" w:hAnsi="Arial" w:cs="Arial"/>
          <w:sz w:val="24"/>
          <w:szCs w:val="24"/>
          <w:lang w:val="en-GB" w:eastAsia="sk-SK"/>
        </w:rPr>
        <w:t>locally based</w:t>
      </w:r>
      <w:r w:rsidRPr="002200DE">
        <w:rPr>
          <w:rFonts w:ascii="Arial" w:eastAsia="MS Mincho" w:hAnsi="Arial" w:cs="Arial"/>
          <w:sz w:val="24"/>
          <w:szCs w:val="24"/>
          <w:lang w:val="en-GB" w:eastAsia="sk-SK"/>
        </w:rPr>
        <w:t xml:space="preserve"> staff would assist in this situation.</w:t>
      </w:r>
    </w:p>
    <w:p w14:paraId="5D67B4B5" w14:textId="77777777" w:rsidR="002200DE" w:rsidRPr="002200DE" w:rsidRDefault="002200DE" w:rsidP="002200DE">
      <w:pPr>
        <w:spacing w:before="100" w:beforeAutospacing="1" w:after="100" w:afterAutospacing="1" w:line="240" w:lineRule="auto"/>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 xml:space="preserve">The involvement of family and neighbours would be considered for </w:t>
      </w:r>
      <w:r w:rsidRPr="002200DE">
        <w:rPr>
          <w:rFonts w:ascii="Arial" w:eastAsia="MS Mincho" w:hAnsi="Arial" w:cs="Times New Roman"/>
          <w:sz w:val="24"/>
          <w:szCs w:val="24"/>
          <w:lang w:val="en-GB" w:eastAsia="sk-SK"/>
        </w:rPr>
        <w:t>service users</w:t>
      </w:r>
      <w:r w:rsidRPr="002200DE">
        <w:rPr>
          <w:rFonts w:ascii="Arial" w:eastAsia="MS Mincho" w:hAnsi="Arial" w:cs="Arial"/>
          <w:sz w:val="24"/>
          <w:szCs w:val="24"/>
          <w:lang w:val="en-GB" w:eastAsia="sk-SK"/>
        </w:rPr>
        <w:t xml:space="preserve"> whose needs could be met by this assistance.  All </w:t>
      </w:r>
      <w:r w:rsidRPr="002200DE">
        <w:rPr>
          <w:rFonts w:ascii="Arial" w:eastAsia="MS Mincho" w:hAnsi="Arial" w:cs="Times New Roman"/>
          <w:sz w:val="24"/>
          <w:szCs w:val="24"/>
          <w:lang w:val="en-GB" w:eastAsia="sk-SK"/>
        </w:rPr>
        <w:t>service users</w:t>
      </w:r>
      <w:r w:rsidRPr="002200DE">
        <w:rPr>
          <w:rFonts w:ascii="Arial" w:eastAsia="MS Mincho" w:hAnsi="Arial" w:cs="Arial"/>
          <w:sz w:val="24"/>
          <w:szCs w:val="24"/>
          <w:lang w:val="en-GB" w:eastAsia="sk-SK"/>
        </w:rPr>
        <w:t xml:space="preserve"> would be contacted and given information and advice pertinent to the </w:t>
      </w:r>
      <w:r w:rsidRPr="002200DE">
        <w:rPr>
          <w:rFonts w:ascii="Arial" w:eastAsia="MS Mincho" w:hAnsi="Arial" w:cs="Times New Roman"/>
          <w:sz w:val="24"/>
          <w:szCs w:val="24"/>
          <w:lang w:val="en-GB" w:eastAsia="sk-SK"/>
        </w:rPr>
        <w:t>service user</w:t>
      </w:r>
      <w:r w:rsidRPr="002200DE">
        <w:rPr>
          <w:rFonts w:ascii="Arial" w:eastAsia="MS Mincho" w:hAnsi="Arial" w:cs="Arial"/>
          <w:sz w:val="24"/>
          <w:szCs w:val="24"/>
          <w:lang w:val="en-GB" w:eastAsia="sk-SK"/>
        </w:rPr>
        <w:t>, e.g. the times of visits and who would be making them.</w:t>
      </w:r>
    </w:p>
    <w:p w14:paraId="6E8C7724" w14:textId="77777777" w:rsidR="002200DE" w:rsidRPr="002200DE" w:rsidRDefault="002200DE" w:rsidP="002200DE">
      <w:pPr>
        <w:spacing w:before="100" w:beforeAutospacing="1" w:after="100" w:afterAutospacing="1" w:line="240" w:lineRule="auto"/>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A statutory notification must be sent to CQC if the adverse weather was likely to last more than 24 hours.</w:t>
      </w:r>
    </w:p>
    <w:p w14:paraId="1DC395CB" w14:textId="77777777" w:rsidR="002200DE" w:rsidRPr="002200DE" w:rsidRDefault="002200DE" w:rsidP="002200DE">
      <w:pPr>
        <w:pStyle w:val="Heading1"/>
        <w:rPr>
          <w:rFonts w:eastAsia="MS Mincho"/>
          <w:lang w:eastAsia="sk-SK"/>
        </w:rPr>
      </w:pPr>
      <w:r w:rsidRPr="002200DE">
        <w:rPr>
          <w:rFonts w:eastAsia="MS Mincho"/>
          <w:lang w:eastAsia="sk-SK"/>
        </w:rPr>
        <w:lastRenderedPageBreak/>
        <w:t xml:space="preserve">Pandemic Management </w:t>
      </w:r>
    </w:p>
    <w:p w14:paraId="73564E01" w14:textId="77777777" w:rsidR="002200DE" w:rsidRPr="002200DE" w:rsidRDefault="002200DE" w:rsidP="002200DE">
      <w:pPr>
        <w:spacing w:before="100" w:beforeAutospacing="1" w:after="0"/>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 xml:space="preserve">A pandemic is recognised as one of the highest risks faced by the Health and Social Care sector. Public Health England now has responsibility to protect the public‘s health from such an outbreak and to provide guidance to organisations where the impact of such a pandemic could be catastrophic. They regularly publish Preparedness Strategies, Response plans etc. in the event of such a situation.  </w:t>
      </w:r>
    </w:p>
    <w:p w14:paraId="50FB8495" w14:textId="77777777" w:rsidR="002200DE" w:rsidRPr="002200DE" w:rsidRDefault="002200DE" w:rsidP="002200DE">
      <w:pPr>
        <w:spacing w:before="100" w:beforeAutospacing="1" w:after="0"/>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The five phases of detection, assessment, treatment, escalation and recovery are monitored, appropriate data collected, the route of the pandemic tracked and advice and guidance issued, as appropriate.</w:t>
      </w:r>
    </w:p>
    <w:p w14:paraId="5C1A2AA9" w14:textId="77777777" w:rsidR="002200DE" w:rsidRPr="002200DE" w:rsidRDefault="002200DE" w:rsidP="002200DE">
      <w:pPr>
        <w:spacing w:before="100" w:beforeAutospacing="1" w:after="0"/>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 xml:space="preserve">Staffing is the biggest issue for continuity of service to be ongoing and when necessary, statutory notifications should be completed in order to assist with the planning required for cover. </w:t>
      </w:r>
    </w:p>
    <w:p w14:paraId="2B35FD0B" w14:textId="4FD83AA6" w:rsidR="002200DE" w:rsidRPr="00E61B0E" w:rsidRDefault="002200DE" w:rsidP="001A105E">
      <w:pPr>
        <w:spacing w:before="100" w:beforeAutospacing="1" w:after="0"/>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 xml:space="preserve">All Local Authorities have an Emergency Civil Plan (ECP) </w:t>
      </w:r>
      <w:bookmarkStart w:id="9" w:name="BusinessContingencyEmegPlanningInput2"/>
      <w:bookmarkEnd w:id="9"/>
      <w:r w:rsidR="0032678C" w:rsidRPr="0032678C">
        <w:rPr>
          <w:rFonts w:ascii="Arial" w:hAnsi="Arial" w:cs="Arial"/>
          <w:sz w:val="24"/>
          <w:szCs w:val="24"/>
        </w:rPr>
        <w:fldChar w:fldCharType="begin"/>
      </w:r>
      <w:r w:rsidR="0032678C" w:rsidRPr="0032678C">
        <w:rPr>
          <w:rFonts w:ascii="Arial" w:hAnsi="Arial" w:cs="Arial"/>
          <w:sz w:val="24"/>
          <w:szCs w:val="24"/>
        </w:rPr>
        <w:instrText xml:space="preserve"> HYPERLINK "https://www.torbay.gov.uk/emergencies/our-role/emergency-preparedness/" </w:instrText>
      </w:r>
      <w:r w:rsidR="0032678C" w:rsidRPr="0032678C">
        <w:rPr>
          <w:rFonts w:ascii="Arial" w:hAnsi="Arial" w:cs="Arial"/>
          <w:sz w:val="24"/>
          <w:szCs w:val="24"/>
        </w:rPr>
        <w:fldChar w:fldCharType="separate"/>
      </w:r>
      <w:r w:rsidR="0032678C" w:rsidRPr="0032678C">
        <w:rPr>
          <w:rStyle w:val="Hyperlink"/>
          <w:rFonts w:ascii="Arial" w:hAnsi="Arial" w:cs="Arial"/>
          <w:sz w:val="24"/>
          <w:szCs w:val="24"/>
        </w:rPr>
        <w:t>https://www.torbay.gov.uk/emergencies/our-role/emergency-preparedness/</w:t>
      </w:r>
      <w:r w:rsidR="0032678C" w:rsidRPr="0032678C">
        <w:rPr>
          <w:rFonts w:ascii="Arial" w:hAnsi="Arial" w:cs="Arial"/>
          <w:sz w:val="24"/>
          <w:szCs w:val="24"/>
        </w:rPr>
        <w:fldChar w:fldCharType="end"/>
      </w:r>
      <w:r w:rsidR="0032678C" w:rsidRPr="002200DE">
        <w:rPr>
          <w:rFonts w:ascii="Arial" w:eastAsia="MS Mincho" w:hAnsi="Arial" w:cs="Arial"/>
          <w:b/>
          <w:sz w:val="24"/>
          <w:szCs w:val="24"/>
          <w:lang w:val="en-GB" w:eastAsia="sk-SK"/>
        </w:rPr>
        <w:t xml:space="preserve"> </w:t>
      </w:r>
      <w:r w:rsidRPr="002200DE">
        <w:rPr>
          <w:rFonts w:ascii="Arial" w:eastAsia="MS Mincho" w:hAnsi="Arial" w:cs="Arial"/>
          <w:sz w:val="24"/>
          <w:szCs w:val="24"/>
          <w:lang w:val="en-GB" w:eastAsia="sk-SK"/>
        </w:rPr>
        <w:t xml:space="preserve"> which is activated when certain criteria are met. A multi-agency approach is in place via the health authority and Public Health England and the organisation will follow all available advice and guidance in managing any pandemic or similar situation. Staff will be advised as to their actions via the office.</w:t>
      </w:r>
      <w:bookmarkStart w:id="10" w:name="_Toc408410384"/>
      <w:bookmarkStart w:id="11" w:name="_Toc408495540"/>
      <w:bookmarkStart w:id="12" w:name="_Toc409431021"/>
    </w:p>
    <w:p w14:paraId="513948D7" w14:textId="4589C06D" w:rsidR="002200DE" w:rsidRPr="002200DE" w:rsidRDefault="002200DE" w:rsidP="002200DE">
      <w:pPr>
        <w:pStyle w:val="Heading1"/>
        <w:rPr>
          <w:rFonts w:eastAsia="MS Mincho"/>
          <w:lang w:eastAsia="sk-SK"/>
        </w:rPr>
      </w:pPr>
      <w:r w:rsidRPr="002200DE">
        <w:rPr>
          <w:rFonts w:eastAsia="MS Mincho"/>
          <w:lang w:eastAsia="sk-SK"/>
        </w:rPr>
        <w:t xml:space="preserve">Force </w:t>
      </w:r>
      <w:r>
        <w:rPr>
          <w:rFonts w:eastAsia="MS Mincho"/>
          <w:lang w:eastAsia="sk-SK"/>
        </w:rPr>
        <w:t>M</w:t>
      </w:r>
      <w:r w:rsidRPr="002200DE">
        <w:rPr>
          <w:rFonts w:eastAsia="MS Mincho"/>
          <w:lang w:eastAsia="sk-SK"/>
        </w:rPr>
        <w:t>ajeure Situations</w:t>
      </w:r>
      <w:bookmarkEnd w:id="10"/>
      <w:bookmarkEnd w:id="11"/>
      <w:bookmarkEnd w:id="12"/>
    </w:p>
    <w:p w14:paraId="1DAC42A3" w14:textId="77777777" w:rsidR="002200DE" w:rsidRPr="002200DE" w:rsidRDefault="002200DE" w:rsidP="002200DE">
      <w:pPr>
        <w:spacing w:before="100" w:beforeAutospacing="1" w:after="100" w:afterAutospacing="1" w:line="240" w:lineRule="auto"/>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 xml:space="preserve">Where a </w:t>
      </w:r>
      <w:r w:rsidRPr="002200DE">
        <w:rPr>
          <w:rFonts w:ascii="Arial" w:eastAsia="MS Mincho" w:hAnsi="Arial" w:cs="Arial"/>
          <w:i/>
          <w:sz w:val="24"/>
          <w:szCs w:val="24"/>
          <w:lang w:val="en-GB" w:eastAsia="sk-SK"/>
        </w:rPr>
        <w:t>force majeure</w:t>
      </w:r>
      <w:r w:rsidRPr="002200DE">
        <w:rPr>
          <w:rFonts w:ascii="Arial" w:eastAsia="MS Mincho" w:hAnsi="Arial" w:cs="Arial"/>
          <w:sz w:val="24"/>
          <w:szCs w:val="24"/>
          <w:lang w:val="en-GB" w:eastAsia="sk-SK"/>
        </w:rPr>
        <w:t xml:space="preserve"> was in place, e.g. major flooding, fuel shortages, road closures &amp; winter conditions, we would take advice and co-operate in any way possible with the Civil Emergency Team and the statutory agencies involved.</w:t>
      </w:r>
    </w:p>
    <w:p w14:paraId="74853B95" w14:textId="77777777" w:rsidR="002200DE" w:rsidRPr="002200DE" w:rsidRDefault="002200DE" w:rsidP="002200DE">
      <w:pPr>
        <w:spacing w:before="100" w:beforeAutospacing="1" w:after="100" w:afterAutospacing="1" w:line="240" w:lineRule="auto"/>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This could include:</w:t>
      </w:r>
    </w:p>
    <w:p w14:paraId="364BB133" w14:textId="77777777" w:rsidR="002200DE" w:rsidRPr="002200DE" w:rsidRDefault="002200DE" w:rsidP="002200DE">
      <w:pPr>
        <w:numPr>
          <w:ilvl w:val="0"/>
          <w:numId w:val="39"/>
        </w:numPr>
        <w:spacing w:before="100" w:beforeAutospacing="1" w:after="100" w:afterAutospacing="1" w:line="240" w:lineRule="auto"/>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Emergency centres being utilised</w:t>
      </w:r>
    </w:p>
    <w:p w14:paraId="10D9C4ED" w14:textId="77777777" w:rsidR="002200DE" w:rsidRPr="002200DE" w:rsidRDefault="002200DE" w:rsidP="002200DE">
      <w:pPr>
        <w:numPr>
          <w:ilvl w:val="0"/>
          <w:numId w:val="39"/>
        </w:numPr>
        <w:spacing w:before="100" w:beforeAutospacing="1" w:after="100" w:afterAutospacing="1" w:line="240" w:lineRule="auto"/>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Evacuation procedures</w:t>
      </w:r>
    </w:p>
    <w:p w14:paraId="0D6471F2" w14:textId="77777777" w:rsidR="002200DE" w:rsidRPr="002200DE" w:rsidRDefault="002200DE" w:rsidP="002200DE">
      <w:pPr>
        <w:numPr>
          <w:ilvl w:val="0"/>
          <w:numId w:val="39"/>
        </w:numPr>
        <w:spacing w:before="100" w:beforeAutospacing="1" w:after="100" w:afterAutospacing="1" w:line="240" w:lineRule="auto"/>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Staff secondment to assist</w:t>
      </w:r>
    </w:p>
    <w:p w14:paraId="61740D14" w14:textId="77777777" w:rsidR="002200DE" w:rsidRPr="002200DE" w:rsidRDefault="002200DE" w:rsidP="002200DE">
      <w:pPr>
        <w:numPr>
          <w:ilvl w:val="0"/>
          <w:numId w:val="39"/>
        </w:numPr>
        <w:spacing w:before="100" w:beforeAutospacing="1" w:after="100" w:afterAutospacing="1" w:line="240" w:lineRule="auto"/>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Assisting other providers with visits</w:t>
      </w:r>
    </w:p>
    <w:p w14:paraId="3C26B300" w14:textId="4F7F872C" w:rsidR="002200DE" w:rsidRPr="002200DE" w:rsidRDefault="002200DE" w:rsidP="002200DE">
      <w:pPr>
        <w:spacing w:before="100" w:beforeAutospacing="1" w:after="100" w:afterAutospacing="1" w:line="240" w:lineRule="auto"/>
        <w:jc w:val="both"/>
        <w:rPr>
          <w:rFonts w:ascii="Arial" w:eastAsia="MS Mincho" w:hAnsi="Arial" w:cs="Arial"/>
          <w:b/>
          <w:sz w:val="24"/>
          <w:szCs w:val="24"/>
          <w:lang w:val="en-GB" w:eastAsia="sk-SK"/>
        </w:rPr>
      </w:pPr>
      <w:r w:rsidRPr="002200DE">
        <w:rPr>
          <w:rFonts w:ascii="Arial" w:eastAsia="MS Mincho" w:hAnsi="Arial" w:cs="Arial"/>
          <w:sz w:val="24"/>
          <w:szCs w:val="24"/>
          <w:lang w:val="en-GB" w:eastAsia="sk-SK"/>
        </w:rPr>
        <w:t xml:space="preserve">We have good local knowledge and our relationship with our multi-agency partners would enable us to deliver the service except where advice was given to the contrary.  We are aware of winter plans from our local authority and the NHS and would seek appropriate advice immediately in order to manage the situation effectively. </w:t>
      </w:r>
      <w:bookmarkStart w:id="13" w:name="BusinessContingencyEmegPlanningInput3"/>
      <w:bookmarkEnd w:id="13"/>
    </w:p>
    <w:p w14:paraId="5E3C5AE5" w14:textId="34FDD179" w:rsidR="009E2A8C" w:rsidRDefault="002200DE" w:rsidP="00274BB0">
      <w:pPr>
        <w:spacing w:before="100" w:beforeAutospacing="1" w:after="100" w:afterAutospacing="1" w:line="240" w:lineRule="auto"/>
        <w:jc w:val="both"/>
        <w:rPr>
          <w:rFonts w:ascii="Arial" w:eastAsia="MS Mincho" w:hAnsi="Arial" w:cs="Arial"/>
          <w:sz w:val="24"/>
          <w:szCs w:val="24"/>
          <w:lang w:val="en-GB" w:eastAsia="sk-SK"/>
        </w:rPr>
      </w:pPr>
      <w:r w:rsidRPr="002200DE">
        <w:rPr>
          <w:rFonts w:ascii="Arial" w:eastAsia="MS Mincho" w:hAnsi="Arial" w:cs="Arial"/>
          <w:sz w:val="24"/>
          <w:szCs w:val="24"/>
          <w:lang w:val="en-GB" w:eastAsia="sk-SK"/>
        </w:rPr>
        <w:t>A statutory notification must be sent to CQC if any of the above situations were likely to last more than 24 hours.</w:t>
      </w:r>
    </w:p>
    <w:p w14:paraId="3629DCAF" w14:textId="77777777" w:rsidR="0032678C" w:rsidRDefault="0032678C" w:rsidP="00274BB0">
      <w:pPr>
        <w:spacing w:before="100" w:beforeAutospacing="1" w:after="100" w:afterAutospacing="1" w:line="240" w:lineRule="auto"/>
        <w:jc w:val="both"/>
        <w:rPr>
          <w:rFonts w:ascii="Arial" w:eastAsia="MS Mincho" w:hAnsi="Arial" w:cs="Arial"/>
          <w:b/>
          <w:bCs/>
          <w:sz w:val="24"/>
          <w:szCs w:val="24"/>
          <w:lang w:val="en-GB" w:eastAsia="sk-SK"/>
        </w:rPr>
      </w:pPr>
    </w:p>
    <w:p w14:paraId="0859DC23" w14:textId="4E85DE59" w:rsidR="00C3747B" w:rsidRPr="0032678C" w:rsidRDefault="00C3747B" w:rsidP="00274BB0">
      <w:pPr>
        <w:spacing w:before="100" w:beforeAutospacing="1" w:after="100" w:afterAutospacing="1" w:line="240" w:lineRule="auto"/>
        <w:jc w:val="both"/>
        <w:rPr>
          <w:rFonts w:ascii="Arial" w:eastAsia="MS Mincho" w:hAnsi="Arial" w:cs="Arial"/>
          <w:b/>
          <w:bCs/>
          <w:sz w:val="24"/>
          <w:szCs w:val="24"/>
          <w:lang w:val="en-GB" w:eastAsia="sk-SK"/>
        </w:rPr>
      </w:pPr>
      <w:r w:rsidRPr="0032678C">
        <w:rPr>
          <w:rFonts w:ascii="Arial" w:eastAsia="MS Mincho" w:hAnsi="Arial" w:cs="Arial"/>
          <w:b/>
          <w:bCs/>
          <w:sz w:val="24"/>
          <w:szCs w:val="24"/>
          <w:lang w:val="en-GB" w:eastAsia="sk-SK"/>
        </w:rPr>
        <w:lastRenderedPageBreak/>
        <w:t>Brexit</w:t>
      </w:r>
    </w:p>
    <w:p w14:paraId="4A99BD00" w14:textId="33E6BBC6" w:rsidR="00C214EF" w:rsidRPr="0032678C" w:rsidRDefault="00C214EF" w:rsidP="00C214EF">
      <w:r w:rsidRPr="0032678C">
        <w:rPr>
          <w:rFonts w:ascii="Arial" w:hAnsi="Arial" w:cs="Arial"/>
          <w:sz w:val="24"/>
          <w:szCs w:val="24"/>
        </w:rPr>
        <w:t xml:space="preserve">Britain left the EU in January 2020.  We are now in </w:t>
      </w:r>
      <w:r w:rsidRPr="0032678C">
        <w:rPr>
          <w:rFonts w:ascii="Arial" w:hAnsi="Arial" w:cs="Arial"/>
          <w:sz w:val="24"/>
          <w:szCs w:val="24"/>
          <w:shd w:val="clear" w:color="auto" w:fill="FFFFFF"/>
        </w:rPr>
        <w:t>the official transition period until 31 December 2020 whilst the UK and EU negotiate additional arrangements.</w:t>
      </w:r>
    </w:p>
    <w:p w14:paraId="522239CE" w14:textId="156B8014" w:rsidR="00C3747B" w:rsidRPr="0032678C" w:rsidRDefault="00C3747B" w:rsidP="00274BB0">
      <w:pPr>
        <w:spacing w:before="100" w:beforeAutospacing="1" w:after="100" w:afterAutospacing="1" w:line="240" w:lineRule="auto"/>
        <w:jc w:val="both"/>
        <w:rPr>
          <w:rFonts w:ascii="Arial" w:eastAsia="MS Mincho" w:hAnsi="Arial" w:cs="Arial"/>
          <w:sz w:val="24"/>
          <w:szCs w:val="24"/>
          <w:lang w:val="en-GB" w:eastAsia="sk-SK"/>
        </w:rPr>
      </w:pPr>
      <w:r w:rsidRPr="0032678C">
        <w:rPr>
          <w:rFonts w:ascii="Arial" w:eastAsia="MS Mincho" w:hAnsi="Arial" w:cs="Arial"/>
          <w:sz w:val="24"/>
          <w:szCs w:val="24"/>
          <w:lang w:val="en-GB" w:eastAsia="sk-SK"/>
        </w:rPr>
        <w:t xml:space="preserve">All information regarding Brexit is available from </w:t>
      </w:r>
      <w:hyperlink r:id="rId8" w:history="1">
        <w:r w:rsidRPr="0032678C">
          <w:rPr>
            <w:rStyle w:val="Hyperlink"/>
            <w:rFonts w:ascii="Arial" w:eastAsia="MS Mincho" w:hAnsi="Arial" w:cs="Arial"/>
            <w:color w:val="auto"/>
            <w:sz w:val="24"/>
            <w:szCs w:val="24"/>
            <w:lang w:val="en-GB" w:eastAsia="sk-SK"/>
          </w:rPr>
          <w:t>www.gov.uk/transition</w:t>
        </w:r>
      </w:hyperlink>
      <w:r w:rsidRPr="0032678C">
        <w:rPr>
          <w:rFonts w:ascii="Arial" w:eastAsia="MS Mincho" w:hAnsi="Arial" w:cs="Arial"/>
          <w:sz w:val="24"/>
          <w:szCs w:val="24"/>
          <w:lang w:val="en-GB" w:eastAsia="sk-SK"/>
        </w:rPr>
        <w:t>.</w:t>
      </w:r>
    </w:p>
    <w:p w14:paraId="00AFE22A" w14:textId="7FB574E1" w:rsidR="00C3747B" w:rsidRPr="0032678C" w:rsidRDefault="0032678C" w:rsidP="00274BB0">
      <w:pPr>
        <w:spacing w:before="100" w:beforeAutospacing="1" w:after="100" w:afterAutospacing="1" w:line="240" w:lineRule="auto"/>
        <w:jc w:val="both"/>
        <w:rPr>
          <w:rFonts w:ascii="Arial" w:eastAsia="MS Mincho" w:hAnsi="Arial" w:cs="Arial"/>
          <w:sz w:val="24"/>
          <w:szCs w:val="24"/>
          <w:lang w:val="en-GB" w:eastAsia="sk-SK"/>
        </w:rPr>
      </w:pPr>
      <w:r>
        <w:rPr>
          <w:rFonts w:ascii="Arial" w:eastAsia="MS Mincho" w:hAnsi="Arial" w:cs="Arial"/>
          <w:sz w:val="24"/>
          <w:szCs w:val="24"/>
          <w:lang w:val="en-GB" w:eastAsia="sk-SK"/>
        </w:rPr>
        <w:t>A lead post-holder, Gail Lane</w:t>
      </w:r>
      <w:r w:rsidR="00C3747B" w:rsidRPr="0032678C">
        <w:rPr>
          <w:rFonts w:ascii="Arial" w:eastAsia="MS Mincho" w:hAnsi="Arial" w:cs="Arial"/>
          <w:sz w:val="24"/>
          <w:szCs w:val="24"/>
          <w:lang w:val="en-GB" w:eastAsia="sk-SK"/>
        </w:rPr>
        <w:t xml:space="preserve"> is responsible for the updating of relevant information which may impact us as a provider</w:t>
      </w:r>
    </w:p>
    <w:p w14:paraId="6D58605D" w14:textId="4E2F7CE5" w:rsidR="00962E1E" w:rsidRDefault="00B14A79" w:rsidP="008B09F5">
      <w:pPr>
        <w:keepNext/>
        <w:keepLines/>
        <w:spacing w:before="360" w:after="0" w:line="240" w:lineRule="auto"/>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Related Policies</w:t>
      </w:r>
    </w:p>
    <w:p w14:paraId="0ED74A5E" w14:textId="77777777" w:rsidR="002200DE" w:rsidRDefault="002200DE" w:rsidP="008B09F5">
      <w:pPr>
        <w:keepNext/>
        <w:keepLines/>
        <w:spacing w:before="360" w:after="0" w:line="240" w:lineRule="auto"/>
        <w:outlineLvl w:val="0"/>
        <w:rPr>
          <w:rFonts w:ascii="Arial" w:eastAsia="HGGothicM" w:hAnsi="Arial" w:cs="Arial"/>
          <w:b/>
          <w:bCs/>
          <w:color w:val="365F91" w:themeColor="accent1" w:themeShade="BF"/>
          <w:sz w:val="24"/>
          <w:szCs w:val="24"/>
          <w:lang w:bidi="en-US"/>
        </w:rPr>
      </w:pPr>
    </w:p>
    <w:p w14:paraId="487D92A6" w14:textId="77777777" w:rsidR="002200DE" w:rsidRPr="002200DE" w:rsidRDefault="002200DE" w:rsidP="002200DE">
      <w:pPr>
        <w:spacing w:after="200"/>
        <w:jc w:val="both"/>
        <w:rPr>
          <w:rFonts w:ascii="Arial" w:eastAsia="MS Mincho" w:hAnsi="Arial" w:cs="Times New Roman"/>
          <w:sz w:val="24"/>
          <w:szCs w:val="24"/>
          <w:lang w:val="en-GB"/>
        </w:rPr>
      </w:pPr>
      <w:r w:rsidRPr="002200DE">
        <w:rPr>
          <w:rFonts w:ascii="Arial" w:eastAsia="MS Mincho" w:hAnsi="Arial" w:cs="Times New Roman"/>
          <w:sz w:val="24"/>
          <w:szCs w:val="24"/>
          <w:lang w:val="en-GB"/>
        </w:rPr>
        <w:t>Co-operating with Other Providers</w:t>
      </w:r>
    </w:p>
    <w:p w14:paraId="146FC93E" w14:textId="04D4B302" w:rsidR="002200DE" w:rsidRPr="002200DE" w:rsidRDefault="002200DE" w:rsidP="002200DE">
      <w:pPr>
        <w:spacing w:after="200"/>
        <w:jc w:val="both"/>
        <w:rPr>
          <w:rFonts w:ascii="Arial" w:eastAsia="MS Mincho" w:hAnsi="Arial" w:cs="Times New Roman"/>
          <w:sz w:val="24"/>
          <w:szCs w:val="24"/>
          <w:lang w:val="en-GB"/>
        </w:rPr>
      </w:pPr>
      <w:r w:rsidRPr="002200DE">
        <w:rPr>
          <w:rFonts w:ascii="Arial" w:eastAsia="MS Mincho" w:hAnsi="Arial" w:cs="Times New Roman"/>
          <w:sz w:val="24"/>
          <w:szCs w:val="24"/>
          <w:lang w:val="en-GB"/>
        </w:rPr>
        <w:t xml:space="preserve">Continuity of Care </w:t>
      </w:r>
      <w:r w:rsidR="00ED7712">
        <w:rPr>
          <w:rFonts w:ascii="Arial" w:eastAsia="MS Mincho" w:hAnsi="Arial" w:cs="Times New Roman"/>
          <w:sz w:val="24"/>
          <w:szCs w:val="24"/>
          <w:lang w:val="en-GB"/>
        </w:rPr>
        <w:t>for</w:t>
      </w:r>
      <w:r w:rsidRPr="002200DE">
        <w:rPr>
          <w:rFonts w:ascii="Arial" w:eastAsia="MS Mincho" w:hAnsi="Arial" w:cs="Times New Roman"/>
          <w:sz w:val="24"/>
          <w:szCs w:val="24"/>
          <w:lang w:val="en-GB"/>
        </w:rPr>
        <w:t xml:space="preserve"> Support Workers</w:t>
      </w:r>
    </w:p>
    <w:p w14:paraId="1F880852" w14:textId="27E05F85" w:rsidR="002200DE" w:rsidRDefault="002200DE" w:rsidP="002200DE">
      <w:pPr>
        <w:spacing w:after="200"/>
        <w:jc w:val="both"/>
        <w:rPr>
          <w:rFonts w:ascii="Arial" w:eastAsia="MS Mincho" w:hAnsi="Arial" w:cs="Times New Roman"/>
          <w:sz w:val="24"/>
          <w:szCs w:val="24"/>
          <w:lang w:val="en-GB"/>
        </w:rPr>
      </w:pPr>
      <w:r w:rsidRPr="002200DE">
        <w:rPr>
          <w:rFonts w:ascii="Arial" w:eastAsia="MS Mincho" w:hAnsi="Arial" w:cs="Times New Roman"/>
          <w:sz w:val="24"/>
          <w:szCs w:val="24"/>
          <w:lang w:val="en-GB"/>
        </w:rPr>
        <w:t>Duty of Candour</w:t>
      </w:r>
    </w:p>
    <w:p w14:paraId="65BD3BF1" w14:textId="2C3CD79E" w:rsidR="005F0164" w:rsidRPr="003A6941" w:rsidRDefault="005F0164" w:rsidP="002200DE">
      <w:pPr>
        <w:spacing w:after="200"/>
        <w:jc w:val="both"/>
        <w:rPr>
          <w:rFonts w:ascii="Arial" w:eastAsia="MS Mincho" w:hAnsi="Arial" w:cs="Times New Roman"/>
          <w:sz w:val="24"/>
          <w:szCs w:val="24"/>
          <w:lang w:val="en-GB"/>
        </w:rPr>
      </w:pPr>
      <w:r w:rsidRPr="003A6941">
        <w:rPr>
          <w:rFonts w:ascii="Arial" w:eastAsia="MS Mincho" w:hAnsi="Arial" w:cs="Times New Roman"/>
          <w:sz w:val="24"/>
          <w:szCs w:val="24"/>
          <w:lang w:val="en-GB"/>
        </w:rPr>
        <w:t>Good Governance</w:t>
      </w:r>
    </w:p>
    <w:p w14:paraId="1AFC0390" w14:textId="51E06325" w:rsidR="002144EA" w:rsidRPr="002200DE" w:rsidRDefault="002200DE" w:rsidP="002200DE">
      <w:pPr>
        <w:spacing w:after="200"/>
        <w:jc w:val="both"/>
        <w:rPr>
          <w:rFonts w:ascii="Arial" w:eastAsia="MS Mincho" w:hAnsi="Arial" w:cs="Times New Roman"/>
          <w:sz w:val="24"/>
          <w:szCs w:val="24"/>
          <w:lang w:val="en-GB"/>
        </w:rPr>
      </w:pPr>
      <w:r w:rsidRPr="002200DE">
        <w:rPr>
          <w:rFonts w:ascii="Arial" w:eastAsia="MS Mincho" w:hAnsi="Arial" w:cs="Times New Roman"/>
          <w:sz w:val="24"/>
          <w:szCs w:val="24"/>
          <w:lang w:val="en-GB"/>
        </w:rPr>
        <w:t>Notifications</w:t>
      </w:r>
    </w:p>
    <w:p w14:paraId="584683F8" w14:textId="77777777" w:rsidR="00115030" w:rsidRDefault="00115030" w:rsidP="00115030">
      <w:pPr>
        <w:keepNext/>
        <w:keepLines/>
        <w:spacing w:before="360" w:after="0" w:line="240" w:lineRule="auto"/>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Related Guidance</w:t>
      </w:r>
    </w:p>
    <w:p w14:paraId="2441B47C" w14:textId="77777777" w:rsidR="00115030" w:rsidRPr="00D07B36" w:rsidRDefault="00115030" w:rsidP="00115030">
      <w:pPr>
        <w:pStyle w:val="ListParagraph"/>
        <w:keepNext/>
        <w:keepLines/>
        <w:numPr>
          <w:ilvl w:val="0"/>
          <w:numId w:val="40"/>
        </w:numPr>
        <w:spacing w:before="360" w:after="0" w:line="240" w:lineRule="auto"/>
        <w:outlineLvl w:val="0"/>
        <w:rPr>
          <w:rFonts w:ascii="Arial" w:eastAsia="HGGothicM" w:hAnsi="Arial" w:cs="Arial"/>
          <w:bCs/>
          <w:color w:val="FF0000"/>
          <w:sz w:val="24"/>
          <w:szCs w:val="24"/>
          <w:lang w:bidi="en-US"/>
        </w:rPr>
      </w:pPr>
      <w:r w:rsidRPr="003A6941">
        <w:rPr>
          <w:rFonts w:ascii="Arial" w:eastAsia="HGGothicM" w:hAnsi="Arial" w:cs="Arial"/>
          <w:bCs/>
          <w:sz w:val="24"/>
          <w:szCs w:val="24"/>
          <w:lang w:bidi="en-US"/>
        </w:rPr>
        <w:t xml:space="preserve">Regulation 17 Good Governance </w:t>
      </w:r>
      <w:hyperlink r:id="rId9" w:history="1">
        <w:r w:rsidRPr="00D07B36">
          <w:rPr>
            <w:rStyle w:val="Hyperlink"/>
            <w:rFonts w:ascii="Arial" w:eastAsia="HGGothicM" w:hAnsi="Arial" w:cs="Arial"/>
            <w:bCs/>
            <w:sz w:val="24"/>
            <w:szCs w:val="24"/>
            <w:lang w:bidi="en-US"/>
          </w:rPr>
          <w:t>https://www.cqc.org.uk/guidance-providers/regulations-enforcement/regulation-17-good-governance</w:t>
        </w:r>
      </w:hyperlink>
      <w:r w:rsidRPr="00D07B36">
        <w:rPr>
          <w:rFonts w:ascii="Arial" w:eastAsia="HGGothicM" w:hAnsi="Arial" w:cs="Arial"/>
          <w:bCs/>
          <w:color w:val="FF0000"/>
          <w:sz w:val="24"/>
          <w:szCs w:val="24"/>
          <w:lang w:bidi="en-US"/>
        </w:rPr>
        <w:t xml:space="preserve"> </w:t>
      </w:r>
    </w:p>
    <w:p w14:paraId="07B5C866" w14:textId="77777777" w:rsidR="00115030" w:rsidRPr="00D07B36" w:rsidRDefault="00115030" w:rsidP="00115030">
      <w:pPr>
        <w:pStyle w:val="ListParagraph"/>
        <w:keepNext/>
        <w:keepLines/>
        <w:numPr>
          <w:ilvl w:val="0"/>
          <w:numId w:val="40"/>
        </w:numPr>
        <w:spacing w:before="360" w:after="0" w:line="240" w:lineRule="auto"/>
        <w:outlineLvl w:val="0"/>
        <w:rPr>
          <w:rFonts w:ascii="Arial" w:eastAsia="HGGothicM" w:hAnsi="Arial" w:cs="Arial"/>
          <w:b/>
          <w:bCs/>
          <w:color w:val="FF0000"/>
          <w:sz w:val="24"/>
          <w:szCs w:val="24"/>
          <w:lang w:bidi="en-US"/>
        </w:rPr>
      </w:pPr>
      <w:r w:rsidRPr="003A6941">
        <w:rPr>
          <w:rFonts w:ascii="Arial" w:eastAsia="HGGothicM" w:hAnsi="Arial" w:cs="Arial"/>
          <w:bCs/>
          <w:sz w:val="24"/>
          <w:szCs w:val="24"/>
          <w:lang w:bidi="en-US"/>
        </w:rPr>
        <w:t xml:space="preserve">Gov.UK Preparing for emergencies: find out about local plans </w:t>
      </w:r>
      <w:hyperlink r:id="rId10" w:history="1">
        <w:r w:rsidRPr="00D07B36">
          <w:rPr>
            <w:rStyle w:val="Hyperlink"/>
            <w:rFonts w:ascii="Arial" w:eastAsia="HGGothicM" w:hAnsi="Arial" w:cs="Arial"/>
            <w:bCs/>
            <w:sz w:val="24"/>
            <w:szCs w:val="24"/>
            <w:lang w:bidi="en-US"/>
          </w:rPr>
          <w:t>https://www.gov.uk/local-planning-emergency-major-incident</w:t>
        </w:r>
      </w:hyperlink>
      <w:r>
        <w:rPr>
          <w:rFonts w:ascii="Arial" w:eastAsia="HGGothicM" w:hAnsi="Arial" w:cs="Arial"/>
          <w:b/>
          <w:bCs/>
          <w:color w:val="FF0000"/>
          <w:sz w:val="24"/>
          <w:szCs w:val="24"/>
          <w:lang w:bidi="en-US"/>
        </w:rPr>
        <w:t xml:space="preserve"> </w:t>
      </w:r>
    </w:p>
    <w:p w14:paraId="63D5B23E" w14:textId="77777777" w:rsidR="00115030" w:rsidRDefault="00115030" w:rsidP="00115030">
      <w:pPr>
        <w:pStyle w:val="Heading1"/>
        <w:rPr>
          <w:color w:val="365F91" w:themeColor="accent1" w:themeShade="BF"/>
        </w:rPr>
      </w:pPr>
      <w:r w:rsidRPr="00513C46">
        <w:rPr>
          <w:color w:val="365F91" w:themeColor="accent1" w:themeShade="BF"/>
        </w:rPr>
        <w:t>Training Statement</w:t>
      </w:r>
    </w:p>
    <w:p w14:paraId="555B30AC" w14:textId="480D029B" w:rsidR="00B017F7" w:rsidRDefault="00115030" w:rsidP="00C3747B">
      <w:pPr>
        <w:spacing w:before="100" w:beforeAutospacing="1" w:after="0" w:line="240" w:lineRule="auto"/>
        <w:jc w:val="both"/>
        <w:rPr>
          <w:rFonts w:ascii="Arial" w:eastAsia="HGGothicM" w:hAnsi="Arial" w:cs="Arial"/>
          <w:b/>
          <w:bCs/>
          <w:sz w:val="24"/>
          <w:szCs w:val="24"/>
          <w:lang w:eastAsia="en-GB"/>
        </w:rPr>
      </w:pPr>
      <w:r w:rsidRPr="00A71783">
        <w:rPr>
          <w:rFonts w:ascii="Arial" w:hAnsi="Arial" w:cs="Arial"/>
          <w:sz w:val="24"/>
          <w:szCs w:val="24"/>
        </w:rPr>
        <w:t>Managers will be kept up to date with relevant local plans, as appropriate, at least annually, in order to respond in an effective and efficient manner</w:t>
      </w:r>
      <w:bookmarkStart w:id="14" w:name="_Hlk529282654"/>
      <w:r w:rsidR="00C3747B">
        <w:rPr>
          <w:rFonts w:ascii="Arial" w:hAnsi="Arial" w:cs="Arial"/>
          <w:sz w:val="24"/>
          <w:szCs w:val="24"/>
        </w:rPr>
        <w:t xml:space="preserve">.         </w:t>
      </w:r>
      <w:r w:rsidRPr="003A6941">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bookmarkEnd w:id="14"/>
    </w:p>
    <w:p w14:paraId="0002CF83" w14:textId="77777777" w:rsidR="004441AE" w:rsidRDefault="004441AE">
      <w:pPr>
        <w:spacing w:after="160" w:line="259" w:lineRule="auto"/>
        <w:ind w:left="360"/>
        <w:jc w:val="both"/>
        <w:rPr>
          <w:rFonts w:ascii="Arial" w:eastAsia="Calibri" w:hAnsi="Arial" w:cs="Arial"/>
          <w:b/>
          <w:sz w:val="24"/>
          <w:szCs w:val="24"/>
          <w:lang w:val="sk-SK"/>
        </w:rPr>
      </w:pPr>
      <w:bookmarkStart w:id="15" w:name="_Hlk527038464"/>
    </w:p>
    <w:p w14:paraId="60388024" w14:textId="77777777" w:rsidR="004441AE" w:rsidRPr="005D706F" w:rsidRDefault="004441AE" w:rsidP="004441AE">
      <w:pPr>
        <w:spacing w:after="160" w:line="259" w:lineRule="auto"/>
        <w:jc w:val="both"/>
        <w:rPr>
          <w:rFonts w:ascii="Arial" w:eastAsia="Calibri" w:hAnsi="Arial" w:cs="Arial"/>
          <w:color w:val="0000FF" w:themeColor="hyperlink"/>
          <w:sz w:val="28"/>
          <w:szCs w:val="28"/>
          <w:u w:val="single"/>
          <w:lang w:val="sk-SK"/>
        </w:rPr>
      </w:pPr>
    </w:p>
    <w:bookmarkEnd w:id="15"/>
    <w:p w14:paraId="5CC23AE6" w14:textId="732D73D1" w:rsidR="00B7150E" w:rsidRPr="00213EAC" w:rsidRDefault="00B7150E">
      <w:pPr>
        <w:spacing w:after="160" w:line="259" w:lineRule="auto"/>
        <w:ind w:left="360"/>
        <w:jc w:val="both"/>
        <w:rPr>
          <w:rFonts w:ascii="Arial" w:eastAsia="Calibri" w:hAnsi="Arial" w:cs="Arial"/>
          <w:sz w:val="24"/>
          <w:szCs w:val="24"/>
          <w:lang w:val="en-GB"/>
        </w:rPr>
      </w:pPr>
    </w:p>
    <w:sectPr w:rsidR="00B7150E" w:rsidRPr="00213E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BF359" w14:textId="77777777" w:rsidR="006F6865" w:rsidRDefault="006F6865" w:rsidP="00815DED">
      <w:pPr>
        <w:spacing w:after="0" w:line="240" w:lineRule="auto"/>
      </w:pPr>
      <w:r>
        <w:separator/>
      </w:r>
    </w:p>
  </w:endnote>
  <w:endnote w:type="continuationSeparator" w:id="0">
    <w:p w14:paraId="3F45F155" w14:textId="77777777" w:rsidR="006F6865" w:rsidRDefault="006F6865"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GGothicM">
    <w:altName w:val="HGｺﾞｼｯｸM"/>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D1A12" w14:textId="77777777" w:rsidR="006F6865" w:rsidRDefault="006F6865" w:rsidP="00815DED">
      <w:pPr>
        <w:spacing w:after="0" w:line="240" w:lineRule="auto"/>
      </w:pPr>
      <w:r>
        <w:separator/>
      </w:r>
    </w:p>
  </w:footnote>
  <w:footnote w:type="continuationSeparator" w:id="0">
    <w:p w14:paraId="36FB7A84" w14:textId="77777777" w:rsidR="006F6865" w:rsidRDefault="006F6865" w:rsidP="0081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3" w15:restartNumberingAfterBreak="0">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B3378"/>
    <w:multiLevelType w:val="hybridMultilevel"/>
    <w:tmpl w:val="5DF87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EC71FB"/>
    <w:multiLevelType w:val="hybridMultilevel"/>
    <w:tmpl w:val="67AA7B6C"/>
    <w:lvl w:ilvl="0" w:tplc="4B6247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75BA3"/>
    <w:multiLevelType w:val="hybridMultilevel"/>
    <w:tmpl w:val="8E968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FE787A"/>
    <w:multiLevelType w:val="hybridMultilevel"/>
    <w:tmpl w:val="70B4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32E63"/>
    <w:multiLevelType w:val="hybridMultilevel"/>
    <w:tmpl w:val="3ABA5F02"/>
    <w:lvl w:ilvl="0" w:tplc="2C6A3C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9"/>
  </w:num>
  <w:num w:numId="3">
    <w:abstractNumId w:val="37"/>
  </w:num>
  <w:num w:numId="4">
    <w:abstractNumId w:val="29"/>
  </w:num>
  <w:num w:numId="5">
    <w:abstractNumId w:val="32"/>
  </w:num>
  <w:num w:numId="6">
    <w:abstractNumId w:val="21"/>
  </w:num>
  <w:num w:numId="7">
    <w:abstractNumId w:val="36"/>
  </w:num>
  <w:num w:numId="8">
    <w:abstractNumId w:val="33"/>
  </w:num>
  <w:num w:numId="9">
    <w:abstractNumId w:val="0"/>
  </w:num>
  <w:num w:numId="10">
    <w:abstractNumId w:val="5"/>
  </w:num>
  <w:num w:numId="11">
    <w:abstractNumId w:val="34"/>
  </w:num>
  <w:num w:numId="12">
    <w:abstractNumId w:val="40"/>
  </w:num>
  <w:num w:numId="13">
    <w:abstractNumId w:val="16"/>
  </w:num>
  <w:num w:numId="14">
    <w:abstractNumId w:val="38"/>
  </w:num>
  <w:num w:numId="15">
    <w:abstractNumId w:val="31"/>
  </w:num>
  <w:num w:numId="16">
    <w:abstractNumId w:val="24"/>
  </w:num>
  <w:num w:numId="17">
    <w:abstractNumId w:val="12"/>
  </w:num>
  <w:num w:numId="18">
    <w:abstractNumId w:val="30"/>
  </w:num>
  <w:num w:numId="19">
    <w:abstractNumId w:val="13"/>
  </w:num>
  <w:num w:numId="20">
    <w:abstractNumId w:val="3"/>
  </w:num>
  <w:num w:numId="21">
    <w:abstractNumId w:val="1"/>
  </w:num>
  <w:num w:numId="22">
    <w:abstractNumId w:val="41"/>
  </w:num>
  <w:num w:numId="23">
    <w:abstractNumId w:val="11"/>
  </w:num>
  <w:num w:numId="24">
    <w:abstractNumId w:val="19"/>
  </w:num>
  <w:num w:numId="25">
    <w:abstractNumId w:val="17"/>
  </w:num>
  <w:num w:numId="26">
    <w:abstractNumId w:val="6"/>
  </w:num>
  <w:num w:numId="27">
    <w:abstractNumId w:val="27"/>
  </w:num>
  <w:num w:numId="28">
    <w:abstractNumId w:val="18"/>
  </w:num>
  <w:num w:numId="29">
    <w:abstractNumId w:val="28"/>
  </w:num>
  <w:num w:numId="30">
    <w:abstractNumId w:val="10"/>
  </w:num>
  <w:num w:numId="31">
    <w:abstractNumId w:val="4"/>
  </w:num>
  <w:num w:numId="32">
    <w:abstractNumId w:val="2"/>
  </w:num>
  <w:num w:numId="33">
    <w:abstractNumId w:val="23"/>
  </w:num>
  <w:num w:numId="34">
    <w:abstractNumId w:val="20"/>
  </w:num>
  <w:num w:numId="35">
    <w:abstractNumId w:val="26"/>
  </w:num>
  <w:num w:numId="36">
    <w:abstractNumId w:val="8"/>
  </w:num>
  <w:num w:numId="37">
    <w:abstractNumId w:val="35"/>
  </w:num>
  <w:num w:numId="38">
    <w:abstractNumId w:val="14"/>
  </w:num>
  <w:num w:numId="39">
    <w:abstractNumId w:val="22"/>
  </w:num>
  <w:num w:numId="40">
    <w:abstractNumId w:val="25"/>
  </w:num>
  <w:num w:numId="41">
    <w:abstractNumId w:val="15"/>
  </w:num>
  <w:num w:numId="4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9"/>
    <w:rsid w:val="00044FA8"/>
    <w:rsid w:val="00073367"/>
    <w:rsid w:val="00074467"/>
    <w:rsid w:val="000912FA"/>
    <w:rsid w:val="000A78A2"/>
    <w:rsid w:val="000B62E7"/>
    <w:rsid w:val="00107F3C"/>
    <w:rsid w:val="00115030"/>
    <w:rsid w:val="0012003A"/>
    <w:rsid w:val="001306FA"/>
    <w:rsid w:val="00130784"/>
    <w:rsid w:val="0013716D"/>
    <w:rsid w:val="001400F3"/>
    <w:rsid w:val="00151C15"/>
    <w:rsid w:val="0015618E"/>
    <w:rsid w:val="00171F21"/>
    <w:rsid w:val="0017673F"/>
    <w:rsid w:val="001A105E"/>
    <w:rsid w:val="001A573C"/>
    <w:rsid w:val="001A77C9"/>
    <w:rsid w:val="001C2CEF"/>
    <w:rsid w:val="001C4E2E"/>
    <w:rsid w:val="001F10B8"/>
    <w:rsid w:val="001F6BE2"/>
    <w:rsid w:val="00213EAC"/>
    <w:rsid w:val="002144EA"/>
    <w:rsid w:val="0021676D"/>
    <w:rsid w:val="00220017"/>
    <w:rsid w:val="002200DE"/>
    <w:rsid w:val="0023341D"/>
    <w:rsid w:val="00272638"/>
    <w:rsid w:val="00274BB0"/>
    <w:rsid w:val="0028436C"/>
    <w:rsid w:val="002937E7"/>
    <w:rsid w:val="002B3B32"/>
    <w:rsid w:val="002B3DB3"/>
    <w:rsid w:val="002C0981"/>
    <w:rsid w:val="002D1A16"/>
    <w:rsid w:val="002E7BED"/>
    <w:rsid w:val="00307FD1"/>
    <w:rsid w:val="0032678C"/>
    <w:rsid w:val="003613E9"/>
    <w:rsid w:val="00367A62"/>
    <w:rsid w:val="00377CEE"/>
    <w:rsid w:val="00384C73"/>
    <w:rsid w:val="003914D3"/>
    <w:rsid w:val="003A6941"/>
    <w:rsid w:val="003C26D4"/>
    <w:rsid w:val="003D4883"/>
    <w:rsid w:val="00410DEF"/>
    <w:rsid w:val="00437BD6"/>
    <w:rsid w:val="004441AE"/>
    <w:rsid w:val="00460527"/>
    <w:rsid w:val="00474D5E"/>
    <w:rsid w:val="004751AF"/>
    <w:rsid w:val="004D6BBE"/>
    <w:rsid w:val="0050013C"/>
    <w:rsid w:val="00513C46"/>
    <w:rsid w:val="00514D6C"/>
    <w:rsid w:val="0058142B"/>
    <w:rsid w:val="005D75B8"/>
    <w:rsid w:val="005F0164"/>
    <w:rsid w:val="00604F85"/>
    <w:rsid w:val="006F6865"/>
    <w:rsid w:val="00705390"/>
    <w:rsid w:val="00727476"/>
    <w:rsid w:val="007444D4"/>
    <w:rsid w:val="00750926"/>
    <w:rsid w:val="007517BF"/>
    <w:rsid w:val="00754951"/>
    <w:rsid w:val="0077378D"/>
    <w:rsid w:val="0078181C"/>
    <w:rsid w:val="00795779"/>
    <w:rsid w:val="00797737"/>
    <w:rsid w:val="007C03BB"/>
    <w:rsid w:val="007D0C83"/>
    <w:rsid w:val="007D359E"/>
    <w:rsid w:val="007E24D0"/>
    <w:rsid w:val="007E2C3A"/>
    <w:rsid w:val="007F69DB"/>
    <w:rsid w:val="00815DED"/>
    <w:rsid w:val="008243B2"/>
    <w:rsid w:val="00824A2A"/>
    <w:rsid w:val="008304D2"/>
    <w:rsid w:val="0083495E"/>
    <w:rsid w:val="00837102"/>
    <w:rsid w:val="008657B1"/>
    <w:rsid w:val="00881FAA"/>
    <w:rsid w:val="008A40E8"/>
    <w:rsid w:val="008B09F5"/>
    <w:rsid w:val="008E139C"/>
    <w:rsid w:val="008F5B0A"/>
    <w:rsid w:val="009236E8"/>
    <w:rsid w:val="009254DA"/>
    <w:rsid w:val="00954464"/>
    <w:rsid w:val="00962E1E"/>
    <w:rsid w:val="0098221D"/>
    <w:rsid w:val="00992B06"/>
    <w:rsid w:val="009B5514"/>
    <w:rsid w:val="009E26CB"/>
    <w:rsid w:val="009E2A8C"/>
    <w:rsid w:val="00A144CA"/>
    <w:rsid w:val="00A3105C"/>
    <w:rsid w:val="00A5173D"/>
    <w:rsid w:val="00A57EE6"/>
    <w:rsid w:val="00A61A71"/>
    <w:rsid w:val="00A70EB8"/>
    <w:rsid w:val="00A71783"/>
    <w:rsid w:val="00A83F4E"/>
    <w:rsid w:val="00A9522B"/>
    <w:rsid w:val="00A968B2"/>
    <w:rsid w:val="00AB7DB2"/>
    <w:rsid w:val="00AC322B"/>
    <w:rsid w:val="00AE0D8F"/>
    <w:rsid w:val="00B00A75"/>
    <w:rsid w:val="00B017F7"/>
    <w:rsid w:val="00B026A1"/>
    <w:rsid w:val="00B1098C"/>
    <w:rsid w:val="00B1231C"/>
    <w:rsid w:val="00B14A79"/>
    <w:rsid w:val="00B37497"/>
    <w:rsid w:val="00B619B2"/>
    <w:rsid w:val="00B7150E"/>
    <w:rsid w:val="00B95E1D"/>
    <w:rsid w:val="00BD13D7"/>
    <w:rsid w:val="00C214EF"/>
    <w:rsid w:val="00C25DB5"/>
    <w:rsid w:val="00C3747B"/>
    <w:rsid w:val="00C755EA"/>
    <w:rsid w:val="00C946A3"/>
    <w:rsid w:val="00CA4883"/>
    <w:rsid w:val="00CC38D5"/>
    <w:rsid w:val="00CC4F50"/>
    <w:rsid w:val="00D3410A"/>
    <w:rsid w:val="00D36BEE"/>
    <w:rsid w:val="00D82B0A"/>
    <w:rsid w:val="00DA4C37"/>
    <w:rsid w:val="00E1155C"/>
    <w:rsid w:val="00E16EA0"/>
    <w:rsid w:val="00E203BB"/>
    <w:rsid w:val="00E370B6"/>
    <w:rsid w:val="00E44056"/>
    <w:rsid w:val="00E61B0E"/>
    <w:rsid w:val="00E63881"/>
    <w:rsid w:val="00E64EED"/>
    <w:rsid w:val="00E70CC1"/>
    <w:rsid w:val="00E80ADC"/>
    <w:rsid w:val="00E87E1C"/>
    <w:rsid w:val="00ED7712"/>
    <w:rsid w:val="00EE10DC"/>
    <w:rsid w:val="00F103C2"/>
    <w:rsid w:val="00F37840"/>
    <w:rsid w:val="00F57767"/>
    <w:rsid w:val="00F90B89"/>
    <w:rsid w:val="00F92E3B"/>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uiPriority w:val="22"/>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1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2005">
      <w:bodyDiv w:val="1"/>
      <w:marLeft w:val="0"/>
      <w:marRight w:val="0"/>
      <w:marTop w:val="0"/>
      <w:marBottom w:val="0"/>
      <w:divBdr>
        <w:top w:val="none" w:sz="0" w:space="0" w:color="auto"/>
        <w:left w:val="none" w:sz="0" w:space="0" w:color="auto"/>
        <w:bottom w:val="none" w:sz="0" w:space="0" w:color="auto"/>
        <w:right w:val="none" w:sz="0" w:space="0" w:color="auto"/>
      </w:divBdr>
    </w:div>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trans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local-planning-emergency-major-incident" TargetMode="External"/><Relationship Id="rId4" Type="http://schemas.openxmlformats.org/officeDocument/2006/relationships/settings" Target="settings.xml"/><Relationship Id="rId9" Type="http://schemas.openxmlformats.org/officeDocument/2006/relationships/hyperlink" Target="https://www.cqc.org.uk/guidance-providers/regulations-enforcement/regulation-17-good-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202B-0701-4CB5-A7D6-2E33A318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Senior Caretaker</cp:lastModifiedBy>
  <cp:revision>17</cp:revision>
  <dcterms:created xsi:type="dcterms:W3CDTF">2018-12-07T11:07:00Z</dcterms:created>
  <dcterms:modified xsi:type="dcterms:W3CDTF">2020-06-23T09:52:00Z</dcterms:modified>
</cp:coreProperties>
</file>